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A9" w:rsidRPr="00811B91" w:rsidRDefault="00F93EA9" w:rsidP="00F93EA9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Pr="00811B91">
        <w:rPr>
          <w:rFonts w:cs="Times New Roman"/>
          <w:b/>
          <w:sz w:val="30"/>
          <w:szCs w:val="30"/>
        </w:rPr>
        <w:t>Кто обязан определять код ТН ВЭД ЕАЭС на ввозимый товар (упаковку)?</w:t>
      </w:r>
    </w:p>
    <w:p w:rsidR="00F93EA9" w:rsidRPr="00811B91" w:rsidRDefault="00F93EA9" w:rsidP="00F93EA9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Код ТН ВЭД ЕАЭС на ввозимый товар (упаковку) присваивается декларантом. При этом организация может присвоить код ТН ВЭД ЕАЭС товару (упаковке) самостоятельно.</w:t>
      </w:r>
    </w:p>
    <w:p w:rsidR="00F93EA9" w:rsidRPr="00811B91" w:rsidRDefault="00F93EA9" w:rsidP="00F93EA9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Также, для исключения негативных последствий неверной классификации товаров по ТН ВЭД ЕАЭС организации вправе обратиться в Минскую центральную таможню за получением предварительного решения, которая является таможенным органом, уполномоченным принимать предварительное решение о классификации товара в соответствии с ТН ВЭД ЕАЭС.</w:t>
      </w:r>
    </w:p>
    <w:p w:rsidR="00F93EA9" w:rsidRPr="00811B91" w:rsidRDefault="00F93EA9" w:rsidP="00F93EA9">
      <w:pPr>
        <w:spacing w:line="240" w:lineRule="auto"/>
        <w:contextualSpacing/>
        <w:rPr>
          <w:rFonts w:cs="Times New Roman"/>
          <w:sz w:val="30"/>
          <w:szCs w:val="30"/>
        </w:rPr>
      </w:pPr>
    </w:p>
    <w:p w:rsidR="00A65E32" w:rsidRPr="00F93EA9" w:rsidRDefault="00A65E32" w:rsidP="00F93EA9">
      <w:bookmarkStart w:id="0" w:name="_GoBack"/>
      <w:bookmarkEnd w:id="0"/>
    </w:p>
    <w:sectPr w:rsidR="00A65E32" w:rsidRPr="00F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4A"/>
    <w:rsid w:val="00A65E32"/>
    <w:rsid w:val="00DA744A"/>
    <w:rsid w:val="00F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2BF2-426E-467F-A12C-8206874D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4A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2020-10-16T09:32:00Z</dcterms:created>
  <dcterms:modified xsi:type="dcterms:W3CDTF">2020-10-16T11:16:00Z</dcterms:modified>
</cp:coreProperties>
</file>